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39BB2" w14:textId="77777777" w:rsidR="00F26D1E" w:rsidRDefault="00F26D1E" w:rsidP="00621964">
      <w:pPr>
        <w:tabs>
          <w:tab w:val="left" w:pos="5040"/>
        </w:tabs>
        <w:spacing w:after="0" w:line="240" w:lineRule="auto"/>
        <w:rPr>
          <w:rFonts w:ascii="Times New Roman" w:eastAsia="Times New Roman" w:hAnsi="Times New Roman" w:cs="Times New Roman"/>
          <w:sz w:val="24"/>
          <w:szCs w:val="24"/>
        </w:rPr>
      </w:pPr>
    </w:p>
    <w:p w14:paraId="660CDECD" w14:textId="3D6F3727" w:rsidR="00F26D1E" w:rsidRDefault="00F26D1E" w:rsidP="00621964">
      <w:pPr>
        <w:tabs>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2021</w:t>
      </w:r>
    </w:p>
    <w:p w14:paraId="378FD915" w14:textId="77777777" w:rsidR="00F26D1E" w:rsidRDefault="00F26D1E" w:rsidP="00621964">
      <w:pPr>
        <w:tabs>
          <w:tab w:val="left" w:pos="5040"/>
        </w:tabs>
        <w:spacing w:after="0" w:line="240" w:lineRule="auto"/>
        <w:rPr>
          <w:rFonts w:ascii="Times New Roman" w:eastAsia="Times New Roman" w:hAnsi="Times New Roman" w:cs="Times New Roman"/>
          <w:sz w:val="24"/>
          <w:szCs w:val="24"/>
        </w:rPr>
      </w:pPr>
    </w:p>
    <w:p w14:paraId="4D902FD7" w14:textId="77777777" w:rsidR="00F26D1E" w:rsidRDefault="00F26D1E" w:rsidP="00621964">
      <w:pPr>
        <w:tabs>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Ben Kempinen, Chair</w:t>
      </w:r>
    </w:p>
    <w:p w14:paraId="28EF2872" w14:textId="77777777" w:rsidR="00F26D1E" w:rsidRDefault="00F26D1E" w:rsidP="00621964">
      <w:pPr>
        <w:tabs>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Tim Pierce, Ethics Counsel</w:t>
      </w:r>
    </w:p>
    <w:p w14:paraId="17EA8E8B" w14:textId="77777777" w:rsidR="00F26D1E" w:rsidRDefault="00F26D1E" w:rsidP="00621964">
      <w:pPr>
        <w:tabs>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Standing Committee on Professional Ethics</w:t>
      </w:r>
    </w:p>
    <w:p w14:paraId="25D62FDF" w14:textId="533DBCD8" w:rsidR="00621964" w:rsidRPr="00621964" w:rsidRDefault="00F26D1E" w:rsidP="00621964">
      <w:pPr>
        <w:tabs>
          <w:tab w:val="left"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Wisconsin State Bar</w:t>
      </w:r>
      <w:r w:rsidR="00621964" w:rsidRPr="00621964">
        <w:rPr>
          <w:rFonts w:ascii="Times New Roman" w:eastAsia="Times New Roman" w:hAnsi="Times New Roman" w:cs="Times New Roman"/>
          <w:sz w:val="24"/>
          <w:szCs w:val="24"/>
        </w:rPr>
        <w:tab/>
      </w:r>
    </w:p>
    <w:p w14:paraId="14C6D9CC" w14:textId="77777777" w:rsidR="00AC74FC" w:rsidRPr="00AC74FC" w:rsidRDefault="00AC74FC" w:rsidP="00AC74FC">
      <w:pPr>
        <w:spacing w:after="0" w:line="240" w:lineRule="auto"/>
        <w:rPr>
          <w:rFonts w:ascii="Times New Roman" w:eastAsia="Calibri" w:hAnsi="Times New Roman" w:cs="Times New Roman"/>
          <w:sz w:val="24"/>
          <w:szCs w:val="24"/>
        </w:rPr>
      </w:pPr>
    </w:p>
    <w:p w14:paraId="21D86844" w14:textId="2AACF614" w:rsidR="00AC74FC" w:rsidRPr="00AC74FC" w:rsidRDefault="00AC74FC" w:rsidP="00AC74FC">
      <w:pPr>
        <w:spacing w:after="0" w:line="240" w:lineRule="auto"/>
        <w:rPr>
          <w:rFonts w:ascii="Times New Roman" w:eastAsia="Calibri" w:hAnsi="Times New Roman" w:cs="Times New Roman"/>
          <w:sz w:val="24"/>
          <w:szCs w:val="24"/>
        </w:rPr>
      </w:pPr>
      <w:r w:rsidRPr="00AC74FC">
        <w:rPr>
          <w:rFonts w:ascii="Times New Roman" w:eastAsia="Calibri" w:hAnsi="Times New Roman" w:cs="Times New Roman"/>
          <w:sz w:val="24"/>
          <w:szCs w:val="24"/>
        </w:rPr>
        <w:t>By email (</w:t>
      </w:r>
      <w:hyperlink r:id="rId7" w:history="1">
        <w:r w:rsidR="00F26D1E" w:rsidRPr="00B14B5F">
          <w:rPr>
            <w:rStyle w:val="Hyperlink"/>
            <w:rFonts w:ascii="Times New Roman" w:eastAsia="Calibri" w:hAnsi="Times New Roman" w:cs="Times New Roman"/>
            <w:sz w:val="24"/>
            <w:szCs w:val="24"/>
          </w:rPr>
          <w:t>kempinen@wisc.edu</w:t>
        </w:r>
      </w:hyperlink>
      <w:r w:rsidR="00F26D1E">
        <w:rPr>
          <w:rFonts w:ascii="Times New Roman" w:eastAsia="Calibri" w:hAnsi="Times New Roman" w:cs="Times New Roman"/>
          <w:sz w:val="24"/>
          <w:szCs w:val="24"/>
        </w:rPr>
        <w:t>; tpierce@wisbar.org</w:t>
      </w:r>
      <w:r w:rsidRPr="00AC74FC">
        <w:rPr>
          <w:rFonts w:ascii="Times New Roman" w:eastAsia="Times New Roman" w:hAnsi="Times New Roman" w:cs="Times New Roman"/>
          <w:sz w:val="24"/>
          <w:szCs w:val="24"/>
        </w:rPr>
        <w:t>)</w:t>
      </w:r>
    </w:p>
    <w:p w14:paraId="0624CDC0" w14:textId="77777777" w:rsidR="00AC74FC" w:rsidRPr="00AC74FC" w:rsidRDefault="00AC74FC" w:rsidP="00AC74FC">
      <w:pPr>
        <w:spacing w:after="0" w:line="240" w:lineRule="auto"/>
        <w:rPr>
          <w:rFonts w:ascii="Times New Roman" w:eastAsia="Times New Roman" w:hAnsi="Times New Roman" w:cs="Times New Roman"/>
          <w:sz w:val="24"/>
          <w:szCs w:val="24"/>
        </w:rPr>
      </w:pPr>
      <w:r w:rsidRPr="00AC74FC">
        <w:rPr>
          <w:rFonts w:ascii="Times New Roman" w:eastAsia="Times New Roman" w:hAnsi="Times New Roman" w:cs="Times New Roman"/>
          <w:sz w:val="24"/>
          <w:szCs w:val="24"/>
        </w:rPr>
        <w:tab/>
      </w:r>
      <w:r w:rsidRPr="00AC74FC">
        <w:rPr>
          <w:rFonts w:ascii="Times New Roman" w:eastAsia="Times New Roman" w:hAnsi="Times New Roman" w:cs="Times New Roman"/>
          <w:sz w:val="24"/>
          <w:szCs w:val="24"/>
        </w:rPr>
        <w:tab/>
      </w:r>
      <w:r w:rsidRPr="00AC74FC">
        <w:rPr>
          <w:rFonts w:ascii="Times New Roman" w:eastAsia="Times New Roman" w:hAnsi="Times New Roman" w:cs="Times New Roman"/>
          <w:sz w:val="24"/>
          <w:szCs w:val="24"/>
        </w:rPr>
        <w:tab/>
      </w:r>
      <w:r w:rsidRPr="00AC74FC">
        <w:rPr>
          <w:rFonts w:ascii="Times New Roman" w:eastAsia="Times New Roman" w:hAnsi="Times New Roman" w:cs="Times New Roman"/>
          <w:sz w:val="24"/>
          <w:szCs w:val="24"/>
        </w:rPr>
        <w:tab/>
      </w:r>
    </w:p>
    <w:p w14:paraId="4CF5F872" w14:textId="7954F178" w:rsidR="00AC74FC" w:rsidRPr="00AC74FC" w:rsidRDefault="00AC74FC" w:rsidP="00AC74FC">
      <w:pPr>
        <w:spacing w:after="0" w:line="240" w:lineRule="auto"/>
        <w:rPr>
          <w:rFonts w:ascii="Times New Roman" w:eastAsia="Times New Roman" w:hAnsi="Times New Roman" w:cs="Times New Roman"/>
          <w:b/>
          <w:sz w:val="24"/>
          <w:szCs w:val="24"/>
        </w:rPr>
      </w:pPr>
      <w:r w:rsidRPr="00AC74FC">
        <w:rPr>
          <w:rFonts w:ascii="Times New Roman" w:eastAsia="Times New Roman" w:hAnsi="Times New Roman" w:cs="Times New Roman"/>
          <w:b/>
          <w:sz w:val="24"/>
          <w:szCs w:val="24"/>
        </w:rPr>
        <w:t xml:space="preserve">RE: </w:t>
      </w:r>
      <w:r w:rsidRPr="00AC74FC">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Comment Letter Opposing</w:t>
      </w:r>
      <w:r w:rsidRPr="00AC74FC">
        <w:rPr>
          <w:rFonts w:ascii="Times New Roman" w:eastAsia="Times New Roman" w:hAnsi="Times New Roman" w:cs="Times New Roman"/>
          <w:b/>
          <w:sz w:val="24"/>
          <w:szCs w:val="24"/>
        </w:rPr>
        <w:t xml:space="preserve"> </w:t>
      </w:r>
      <w:r w:rsidR="00F26D1E">
        <w:rPr>
          <w:rFonts w:ascii="Times New Roman" w:eastAsia="Times New Roman" w:hAnsi="Times New Roman" w:cs="Times New Roman"/>
          <w:b/>
          <w:sz w:val="24"/>
          <w:szCs w:val="24"/>
        </w:rPr>
        <w:t>Adoption of ABA Model Rule 8.4(g)</w:t>
      </w:r>
    </w:p>
    <w:p w14:paraId="13490203" w14:textId="77777777" w:rsidR="00AC74FC" w:rsidRPr="00AC74FC" w:rsidRDefault="00AC74FC" w:rsidP="00AC74FC">
      <w:pPr>
        <w:spacing w:after="0" w:line="240" w:lineRule="auto"/>
        <w:rPr>
          <w:rFonts w:ascii="Times New Roman" w:eastAsia="Times New Roman" w:hAnsi="Times New Roman" w:cs="Times New Roman"/>
          <w:sz w:val="24"/>
          <w:szCs w:val="24"/>
          <w:u w:val="single"/>
        </w:rPr>
      </w:pPr>
      <w:r w:rsidRPr="00AC74FC">
        <w:rPr>
          <w:rFonts w:ascii="Times New Roman" w:eastAsia="Times New Roman" w:hAnsi="Times New Roman" w:cs="Times New Roman"/>
          <w:b/>
          <w:sz w:val="24"/>
          <w:szCs w:val="24"/>
        </w:rPr>
        <w:tab/>
      </w:r>
    </w:p>
    <w:p w14:paraId="72DEE356" w14:textId="7B180545" w:rsidR="00AC74FC" w:rsidRPr="00AC74FC" w:rsidRDefault="00AC74FC" w:rsidP="00AC74FC">
      <w:pPr>
        <w:spacing w:after="0" w:line="240" w:lineRule="auto"/>
        <w:ind w:left="360" w:hanging="360"/>
        <w:rPr>
          <w:rFonts w:ascii="Times New Roman" w:eastAsia="Times New Roman" w:hAnsi="Times New Roman" w:cs="Times New Roman"/>
          <w:sz w:val="24"/>
          <w:szCs w:val="24"/>
        </w:rPr>
      </w:pPr>
      <w:r w:rsidRPr="00AC74FC">
        <w:rPr>
          <w:rFonts w:ascii="Times New Roman" w:eastAsia="Times New Roman" w:hAnsi="Times New Roman" w:cs="Times New Roman"/>
          <w:sz w:val="24"/>
          <w:szCs w:val="24"/>
        </w:rPr>
        <w:t>Dear</w:t>
      </w:r>
      <w:r w:rsidR="00F26D1E">
        <w:rPr>
          <w:rFonts w:ascii="Times New Roman" w:eastAsia="Times New Roman" w:hAnsi="Times New Roman" w:cs="Times New Roman"/>
          <w:sz w:val="24"/>
          <w:szCs w:val="24"/>
        </w:rPr>
        <w:t xml:space="preserve"> Chair Kempinen and Mr. Pierce</w:t>
      </w:r>
      <w:r w:rsidRPr="00AC74FC">
        <w:rPr>
          <w:rFonts w:ascii="Times New Roman" w:eastAsia="Times New Roman" w:hAnsi="Times New Roman" w:cs="Times New Roman"/>
          <w:sz w:val="24"/>
          <w:szCs w:val="24"/>
        </w:rPr>
        <w:t>:</w:t>
      </w:r>
    </w:p>
    <w:p w14:paraId="07DCAACF" w14:textId="77777777" w:rsidR="00621964" w:rsidRPr="00621964" w:rsidRDefault="00621964" w:rsidP="00621964">
      <w:pPr>
        <w:spacing w:after="0" w:line="240" w:lineRule="auto"/>
        <w:rPr>
          <w:rFonts w:ascii="Times New Roman" w:eastAsia="Times New Roman" w:hAnsi="Times New Roman" w:cs="Times New Roman"/>
          <w:sz w:val="24"/>
          <w:szCs w:val="24"/>
        </w:rPr>
      </w:pPr>
    </w:p>
    <w:p w14:paraId="165C0584" w14:textId="78E26C1F" w:rsidR="007509DA" w:rsidRDefault="00057DCA" w:rsidP="007509DA">
      <w:pPr>
        <w:spacing w:after="0" w:line="240" w:lineRule="auto"/>
        <w:ind w:firstLine="720"/>
        <w:rPr>
          <w:rFonts w:ascii="Times New Roman" w:hAnsi="Times New Roman" w:cs="Times New Roman"/>
          <w:sz w:val="24"/>
          <w:szCs w:val="24"/>
        </w:rPr>
      </w:pPr>
      <w:r w:rsidRPr="00BA40E3">
        <w:rPr>
          <w:rFonts w:ascii="Times New Roman" w:hAnsi="Times New Roman" w:cs="Times New Roman"/>
          <w:sz w:val="24"/>
          <w:szCs w:val="24"/>
        </w:rPr>
        <w:t>ABA Model Rule 8.4(g), proposed by the ABA in 2016</w:t>
      </w:r>
      <w:r w:rsidR="00F26D1E">
        <w:rPr>
          <w:rFonts w:ascii="Times New Roman" w:hAnsi="Times New Roman" w:cs="Times New Roman"/>
          <w:sz w:val="24"/>
          <w:szCs w:val="24"/>
        </w:rPr>
        <w:t>, should not be imposed on Wisconsin lawyers</w:t>
      </w:r>
      <w:r w:rsidRPr="00BA40E3">
        <w:rPr>
          <w:rFonts w:ascii="Times New Roman" w:hAnsi="Times New Roman" w:cs="Times New Roman"/>
          <w:sz w:val="24"/>
          <w:szCs w:val="24"/>
        </w:rPr>
        <w:t xml:space="preserve">. After </w:t>
      </w:r>
      <w:r w:rsidR="00621964">
        <w:rPr>
          <w:rFonts w:ascii="Times New Roman" w:hAnsi="Times New Roman" w:cs="Times New Roman"/>
          <w:sz w:val="24"/>
          <w:szCs w:val="24"/>
        </w:rPr>
        <w:t>four</w:t>
      </w:r>
      <w:r w:rsidRPr="00BA40E3">
        <w:rPr>
          <w:rFonts w:ascii="Times New Roman" w:hAnsi="Times New Roman" w:cs="Times New Roman"/>
          <w:sz w:val="24"/>
          <w:szCs w:val="24"/>
        </w:rPr>
        <w:t xml:space="preserve"> years of deliberations in many sta</w:t>
      </w:r>
      <w:r w:rsidR="00BA40E3" w:rsidRPr="00BA40E3">
        <w:rPr>
          <w:rFonts w:ascii="Times New Roman" w:hAnsi="Times New Roman" w:cs="Times New Roman"/>
          <w:sz w:val="24"/>
          <w:szCs w:val="24"/>
        </w:rPr>
        <w:t xml:space="preserve">tes across the country, </w:t>
      </w:r>
      <w:r w:rsidRPr="00BA40E3">
        <w:rPr>
          <w:rFonts w:ascii="Times New Roman" w:hAnsi="Times New Roman" w:cs="Times New Roman"/>
          <w:sz w:val="24"/>
          <w:szCs w:val="24"/>
        </w:rPr>
        <w:t xml:space="preserve">only </w:t>
      </w:r>
      <w:r w:rsidR="00BA40E3" w:rsidRPr="00BA40E3">
        <w:rPr>
          <w:rFonts w:ascii="Times New Roman" w:hAnsi="Times New Roman" w:cs="Times New Roman"/>
          <w:sz w:val="24"/>
          <w:szCs w:val="24"/>
        </w:rPr>
        <w:t xml:space="preserve">two </w:t>
      </w:r>
      <w:r w:rsidRPr="00BA40E3">
        <w:rPr>
          <w:rFonts w:ascii="Times New Roman" w:hAnsi="Times New Roman" w:cs="Times New Roman"/>
          <w:sz w:val="24"/>
          <w:szCs w:val="24"/>
        </w:rPr>
        <w:t>state</w:t>
      </w:r>
      <w:r w:rsidR="00BA40E3" w:rsidRPr="00BA40E3">
        <w:rPr>
          <w:rFonts w:ascii="Times New Roman" w:hAnsi="Times New Roman" w:cs="Times New Roman"/>
          <w:sz w:val="24"/>
          <w:szCs w:val="24"/>
        </w:rPr>
        <w:t>s</w:t>
      </w:r>
      <w:r w:rsidR="00621964">
        <w:rPr>
          <w:rFonts w:ascii="Times New Roman" w:hAnsi="Times New Roman" w:cs="Times New Roman"/>
          <w:sz w:val="24"/>
          <w:szCs w:val="24"/>
        </w:rPr>
        <w:t>, Vermont and New Mexico,</w:t>
      </w:r>
      <w:r w:rsidRPr="00BA40E3">
        <w:rPr>
          <w:rFonts w:ascii="Times New Roman" w:hAnsi="Times New Roman" w:cs="Times New Roman"/>
          <w:sz w:val="24"/>
          <w:szCs w:val="24"/>
        </w:rPr>
        <w:t xml:space="preserve"> </w:t>
      </w:r>
      <w:r w:rsidR="007509DA" w:rsidRPr="00BA40E3">
        <w:rPr>
          <w:rFonts w:ascii="Times New Roman" w:hAnsi="Times New Roman" w:cs="Times New Roman"/>
          <w:sz w:val="24"/>
          <w:szCs w:val="24"/>
        </w:rPr>
        <w:t xml:space="preserve">have </w:t>
      </w:r>
      <w:r w:rsidR="00621964">
        <w:rPr>
          <w:rFonts w:ascii="Times New Roman" w:hAnsi="Times New Roman" w:cs="Times New Roman"/>
          <w:sz w:val="24"/>
          <w:szCs w:val="24"/>
        </w:rPr>
        <w:t xml:space="preserve">fully </w:t>
      </w:r>
      <w:r w:rsidR="007509DA" w:rsidRPr="00BA40E3">
        <w:rPr>
          <w:rFonts w:ascii="Times New Roman" w:hAnsi="Times New Roman" w:cs="Times New Roman"/>
          <w:sz w:val="24"/>
          <w:szCs w:val="24"/>
        </w:rPr>
        <w:t xml:space="preserve">adopted this </w:t>
      </w:r>
      <w:r w:rsidR="00621964">
        <w:rPr>
          <w:rFonts w:ascii="Times New Roman" w:hAnsi="Times New Roman" w:cs="Times New Roman"/>
          <w:sz w:val="24"/>
          <w:szCs w:val="24"/>
        </w:rPr>
        <w:t>highly flawed</w:t>
      </w:r>
      <w:r w:rsidR="007509DA" w:rsidRPr="00BA40E3">
        <w:rPr>
          <w:rFonts w:ascii="Times New Roman" w:hAnsi="Times New Roman" w:cs="Times New Roman"/>
          <w:sz w:val="24"/>
          <w:szCs w:val="24"/>
        </w:rPr>
        <w:t xml:space="preserve"> rule. In contrast, </w:t>
      </w:r>
      <w:r w:rsidR="00F26D1E">
        <w:rPr>
          <w:rFonts w:ascii="Times New Roman" w:hAnsi="Times New Roman" w:cs="Times New Roman"/>
          <w:sz w:val="24"/>
          <w:szCs w:val="24"/>
        </w:rPr>
        <w:t xml:space="preserve">fourteen </w:t>
      </w:r>
      <w:r w:rsidR="007509DA" w:rsidRPr="00BA40E3">
        <w:rPr>
          <w:rFonts w:ascii="Times New Roman" w:hAnsi="Times New Roman" w:cs="Times New Roman"/>
          <w:sz w:val="24"/>
          <w:szCs w:val="24"/>
        </w:rPr>
        <w:t xml:space="preserve">states have concluded, after careful study, that ABA Model Rule 8.4(g) is both unconstitutional and unworkable. I respectfully request that the </w:t>
      </w:r>
      <w:r w:rsidR="00F26D1E">
        <w:rPr>
          <w:rFonts w:ascii="Times New Roman" w:hAnsi="Times New Roman" w:cs="Times New Roman"/>
          <w:sz w:val="24"/>
          <w:szCs w:val="24"/>
        </w:rPr>
        <w:t>Committee</w:t>
      </w:r>
      <w:r w:rsidR="007509DA" w:rsidRPr="00BA40E3">
        <w:rPr>
          <w:rFonts w:ascii="Times New Roman" w:hAnsi="Times New Roman" w:cs="Times New Roman"/>
          <w:sz w:val="24"/>
          <w:szCs w:val="24"/>
        </w:rPr>
        <w:t xml:space="preserve"> reject </w:t>
      </w:r>
      <w:r w:rsidR="00F26D1E">
        <w:rPr>
          <w:rFonts w:ascii="Times New Roman" w:hAnsi="Times New Roman" w:cs="Times New Roman"/>
          <w:sz w:val="24"/>
          <w:szCs w:val="24"/>
        </w:rPr>
        <w:t>any proposal to adopt ABA Model Rule 8.4(g) or to modify current Supreme Court Rule 20:8.4(i)</w:t>
      </w:r>
      <w:r w:rsidR="00AC74FC">
        <w:rPr>
          <w:rFonts w:ascii="Times New Roman" w:hAnsi="Times New Roman" w:cs="Times New Roman"/>
          <w:sz w:val="24"/>
          <w:szCs w:val="24"/>
        </w:rPr>
        <w:t>.</w:t>
      </w:r>
      <w:r w:rsidR="00F26D1E">
        <w:rPr>
          <w:rFonts w:ascii="Times New Roman" w:hAnsi="Times New Roman" w:cs="Times New Roman"/>
          <w:sz w:val="24"/>
          <w:szCs w:val="24"/>
        </w:rPr>
        <w:t xml:space="preserve"> Instead, t</w:t>
      </w:r>
      <w:r w:rsidR="007509DA" w:rsidRPr="00BA40E3">
        <w:rPr>
          <w:rFonts w:ascii="Times New Roman" w:hAnsi="Times New Roman" w:cs="Times New Roman"/>
          <w:sz w:val="24"/>
          <w:szCs w:val="24"/>
        </w:rPr>
        <w:t xml:space="preserve">he </w:t>
      </w:r>
      <w:r w:rsidR="00AC74FC">
        <w:rPr>
          <w:rFonts w:ascii="Times New Roman" w:hAnsi="Times New Roman" w:cs="Times New Roman"/>
          <w:sz w:val="24"/>
          <w:szCs w:val="24"/>
        </w:rPr>
        <w:t xml:space="preserve">prudent </w:t>
      </w:r>
      <w:r w:rsidR="007509DA" w:rsidRPr="00BA40E3">
        <w:rPr>
          <w:rFonts w:ascii="Times New Roman" w:hAnsi="Times New Roman" w:cs="Times New Roman"/>
          <w:sz w:val="24"/>
          <w:szCs w:val="24"/>
        </w:rPr>
        <w:t xml:space="preserve">course </w:t>
      </w:r>
      <w:r w:rsidR="00AC74FC">
        <w:rPr>
          <w:rFonts w:ascii="Times New Roman" w:hAnsi="Times New Roman" w:cs="Times New Roman"/>
          <w:sz w:val="24"/>
          <w:szCs w:val="24"/>
        </w:rPr>
        <w:t>is to wait and</w:t>
      </w:r>
      <w:r w:rsidR="007509DA" w:rsidRPr="00BA40E3">
        <w:rPr>
          <w:rFonts w:ascii="Times New Roman" w:hAnsi="Times New Roman" w:cs="Times New Roman"/>
          <w:sz w:val="24"/>
          <w:szCs w:val="24"/>
        </w:rPr>
        <w:t xml:space="preserve"> see whether other states choose to experiment with ABA Model Rule 8.4(g) and the practical effect of that experiment on the lawyers in those states.</w:t>
      </w:r>
    </w:p>
    <w:p w14:paraId="7FBD25B1" w14:textId="634C6980" w:rsidR="007509DA" w:rsidRPr="00BA40E3" w:rsidRDefault="007509DA" w:rsidP="007509DA">
      <w:pPr>
        <w:spacing w:after="0" w:line="240" w:lineRule="auto"/>
        <w:ind w:firstLine="720"/>
        <w:rPr>
          <w:rFonts w:ascii="Times New Roman" w:hAnsi="Times New Roman" w:cs="Times New Roman"/>
          <w:sz w:val="24"/>
          <w:szCs w:val="24"/>
        </w:rPr>
      </w:pPr>
    </w:p>
    <w:p w14:paraId="08DE787E" w14:textId="215AD195" w:rsidR="007509DA" w:rsidRDefault="007509DA" w:rsidP="007509DA">
      <w:pPr>
        <w:spacing w:after="0" w:line="240" w:lineRule="auto"/>
        <w:ind w:firstLine="720"/>
        <w:rPr>
          <w:rFonts w:ascii="Times New Roman" w:hAnsi="Times New Roman" w:cs="Times New Roman"/>
          <w:sz w:val="24"/>
          <w:szCs w:val="24"/>
        </w:rPr>
      </w:pPr>
      <w:r w:rsidRPr="00BA40E3">
        <w:rPr>
          <w:rFonts w:ascii="Times New Roman" w:hAnsi="Times New Roman" w:cs="Times New Roman"/>
          <w:sz w:val="24"/>
          <w:szCs w:val="24"/>
        </w:rPr>
        <w:t>A number of scholars have characterized ABA Model Rule 8.4(g) as a speech code for lawyers.</w:t>
      </w:r>
      <w:r w:rsidRPr="00BA40E3">
        <w:rPr>
          <w:rStyle w:val="FootnoteReference"/>
          <w:rFonts w:ascii="Times New Roman" w:hAnsi="Times New Roman" w:cs="Times New Roman"/>
          <w:sz w:val="24"/>
          <w:szCs w:val="24"/>
        </w:rPr>
        <w:footnoteReference w:id="1"/>
      </w:r>
      <w:r w:rsidRPr="00BA40E3">
        <w:rPr>
          <w:rFonts w:ascii="Times New Roman" w:hAnsi="Times New Roman" w:cs="Times New Roman"/>
          <w:sz w:val="24"/>
          <w:szCs w:val="24"/>
        </w:rPr>
        <w:t xml:space="preserve"> The late Professor Ronald Rotunda, a highly respected scholar in both constitutional law and legal ethics, warned that ABA Model Rule 8.4(g) threatens lawyers’ First Amendment rights.</w:t>
      </w:r>
      <w:r w:rsidRPr="00BA40E3">
        <w:rPr>
          <w:rStyle w:val="FootnoteReference"/>
          <w:rFonts w:ascii="Times New Roman" w:hAnsi="Times New Roman" w:cs="Times New Roman"/>
          <w:sz w:val="24"/>
          <w:szCs w:val="24"/>
        </w:rPr>
        <w:footnoteReference w:id="2"/>
      </w:r>
      <w:r w:rsidRPr="00BA40E3">
        <w:rPr>
          <w:rFonts w:ascii="Times New Roman" w:hAnsi="Times New Roman" w:cs="Times New Roman"/>
          <w:sz w:val="24"/>
          <w:szCs w:val="24"/>
        </w:rPr>
        <w:t xml:space="preserve"> Regarding the new rule, he and Professor John S. Dzienkowski wrote, in the 2017-2018 edition of </w:t>
      </w:r>
      <w:r w:rsidRPr="00BA40E3">
        <w:rPr>
          <w:rFonts w:ascii="Times New Roman" w:hAnsi="Times New Roman" w:cs="Times New Roman"/>
          <w:i/>
          <w:iCs/>
          <w:sz w:val="24"/>
          <w:szCs w:val="24"/>
        </w:rPr>
        <w:t>Legal Ethics: The Lawyer’s Deskbook on Professional Responsibility</w:t>
      </w:r>
      <w:r w:rsidRPr="00BA40E3">
        <w:rPr>
          <w:rFonts w:ascii="Times New Roman" w:hAnsi="Times New Roman" w:cs="Times New Roman"/>
          <w:sz w:val="24"/>
          <w:szCs w:val="24"/>
        </w:rPr>
        <w:t>, “[t]he ABA’s efforts are well intentioned, but . . . raise problems of vagueness, overbreadth, and chilling protected speech under the First Amendment.”</w:t>
      </w:r>
      <w:r w:rsidRPr="00BA40E3">
        <w:rPr>
          <w:rStyle w:val="FootnoteReference"/>
          <w:rFonts w:ascii="Times New Roman" w:hAnsi="Times New Roman" w:cs="Times New Roman"/>
          <w:sz w:val="24"/>
          <w:szCs w:val="24"/>
        </w:rPr>
        <w:footnoteReference w:id="3"/>
      </w:r>
      <w:r w:rsidRPr="00BA40E3">
        <w:rPr>
          <w:rFonts w:ascii="Times New Roman" w:hAnsi="Times New Roman" w:cs="Times New Roman"/>
          <w:sz w:val="24"/>
          <w:szCs w:val="24"/>
        </w:rPr>
        <w:t xml:space="preserve"> </w:t>
      </w:r>
      <w:r w:rsidR="00DC095F">
        <w:rPr>
          <w:rFonts w:ascii="Times New Roman" w:hAnsi="Times New Roman" w:cs="Times New Roman"/>
          <w:sz w:val="24"/>
          <w:szCs w:val="24"/>
        </w:rPr>
        <w:t>Professor</w:t>
      </w:r>
      <w:r w:rsidR="00C20540">
        <w:rPr>
          <w:rFonts w:ascii="Times New Roman" w:hAnsi="Times New Roman" w:cs="Times New Roman"/>
          <w:sz w:val="24"/>
          <w:szCs w:val="24"/>
        </w:rPr>
        <w:t xml:space="preserve"> Michael </w:t>
      </w:r>
      <w:proofErr w:type="spellStart"/>
      <w:r w:rsidR="00C20540">
        <w:rPr>
          <w:rFonts w:ascii="Times New Roman" w:hAnsi="Times New Roman" w:cs="Times New Roman"/>
          <w:sz w:val="24"/>
          <w:szCs w:val="24"/>
        </w:rPr>
        <w:t>McGinniss</w:t>
      </w:r>
      <w:proofErr w:type="spellEnd"/>
      <w:r w:rsidR="00DC095F">
        <w:rPr>
          <w:rFonts w:ascii="Times New Roman" w:hAnsi="Times New Roman" w:cs="Times New Roman"/>
          <w:sz w:val="24"/>
          <w:szCs w:val="24"/>
        </w:rPr>
        <w:t>, Dean</w:t>
      </w:r>
      <w:r w:rsidR="00C20540">
        <w:rPr>
          <w:rFonts w:ascii="Times New Roman" w:hAnsi="Times New Roman" w:cs="Times New Roman"/>
          <w:sz w:val="24"/>
          <w:szCs w:val="24"/>
        </w:rPr>
        <w:t xml:space="preserve"> of the University of North Dakota School of Law</w:t>
      </w:r>
      <w:r w:rsidR="00310FBC">
        <w:rPr>
          <w:rFonts w:ascii="Times New Roman" w:hAnsi="Times New Roman" w:cs="Times New Roman"/>
          <w:sz w:val="24"/>
          <w:szCs w:val="24"/>
        </w:rPr>
        <w:t>,</w:t>
      </w:r>
      <w:r w:rsidR="00C20540">
        <w:rPr>
          <w:rFonts w:ascii="Times New Roman" w:hAnsi="Times New Roman" w:cs="Times New Roman"/>
          <w:sz w:val="24"/>
          <w:szCs w:val="24"/>
        </w:rPr>
        <w:t xml:space="preserve"> </w:t>
      </w:r>
      <w:r w:rsidRPr="00BA40E3">
        <w:rPr>
          <w:rFonts w:ascii="Times New Roman" w:hAnsi="Times New Roman" w:cs="Times New Roman"/>
          <w:sz w:val="24"/>
          <w:szCs w:val="24"/>
        </w:rPr>
        <w:t xml:space="preserve">raised </w:t>
      </w:r>
      <w:r w:rsidR="00C20540">
        <w:rPr>
          <w:rFonts w:ascii="Times New Roman" w:hAnsi="Times New Roman" w:cs="Times New Roman"/>
          <w:sz w:val="24"/>
          <w:szCs w:val="24"/>
        </w:rPr>
        <w:t xml:space="preserve">similar </w:t>
      </w:r>
      <w:r w:rsidR="00310FBC">
        <w:rPr>
          <w:rFonts w:ascii="Times New Roman" w:hAnsi="Times New Roman" w:cs="Times New Roman"/>
          <w:sz w:val="24"/>
          <w:szCs w:val="24"/>
        </w:rPr>
        <w:t>concerns</w:t>
      </w:r>
      <w:r w:rsidR="00C20540">
        <w:rPr>
          <w:rFonts w:ascii="Times New Roman" w:hAnsi="Times New Roman" w:cs="Times New Roman"/>
          <w:sz w:val="24"/>
          <w:szCs w:val="24"/>
        </w:rPr>
        <w:t xml:space="preserve"> in a recent</w:t>
      </w:r>
      <w:r w:rsidR="00310FBC">
        <w:rPr>
          <w:rFonts w:ascii="Times New Roman" w:hAnsi="Times New Roman" w:cs="Times New Roman"/>
          <w:sz w:val="24"/>
          <w:szCs w:val="24"/>
        </w:rPr>
        <w:t xml:space="preserve"> </w:t>
      </w:r>
      <w:r w:rsidR="00C20540">
        <w:rPr>
          <w:rFonts w:ascii="Times New Roman" w:hAnsi="Times New Roman" w:cs="Times New Roman"/>
          <w:sz w:val="24"/>
          <w:szCs w:val="24"/>
        </w:rPr>
        <w:t>article</w:t>
      </w:r>
      <w:r w:rsidRPr="00BA40E3">
        <w:rPr>
          <w:rFonts w:ascii="Times New Roman" w:hAnsi="Times New Roman" w:cs="Times New Roman"/>
          <w:sz w:val="24"/>
          <w:szCs w:val="24"/>
        </w:rPr>
        <w:t>.</w:t>
      </w:r>
      <w:r w:rsidRPr="00BA40E3">
        <w:rPr>
          <w:rStyle w:val="FootnoteReference"/>
          <w:rFonts w:ascii="Times New Roman" w:hAnsi="Times New Roman" w:cs="Times New Roman"/>
          <w:sz w:val="24"/>
          <w:szCs w:val="24"/>
        </w:rPr>
        <w:footnoteReference w:id="4"/>
      </w:r>
    </w:p>
    <w:p w14:paraId="3426FF65" w14:textId="77777777" w:rsidR="00F26D1E" w:rsidRPr="00BA40E3" w:rsidRDefault="00F26D1E" w:rsidP="007509DA">
      <w:pPr>
        <w:spacing w:after="0" w:line="240" w:lineRule="auto"/>
        <w:ind w:firstLine="720"/>
        <w:rPr>
          <w:rFonts w:ascii="Times New Roman" w:hAnsi="Times New Roman" w:cs="Times New Roman"/>
          <w:sz w:val="24"/>
          <w:szCs w:val="24"/>
        </w:rPr>
      </w:pPr>
    </w:p>
    <w:p w14:paraId="48390F44" w14:textId="24A4063D" w:rsidR="007509DA" w:rsidRPr="00BA40E3" w:rsidRDefault="00BA40E3" w:rsidP="007509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Two</w:t>
      </w:r>
      <w:r w:rsidR="007509DA" w:rsidRPr="00BA40E3">
        <w:rPr>
          <w:rFonts w:ascii="Times New Roman" w:hAnsi="Times New Roman" w:cs="Times New Roman"/>
          <w:sz w:val="24"/>
          <w:szCs w:val="24"/>
        </w:rPr>
        <w:t xml:space="preserve"> Arizona practitioners thoroughly examined ABA Model Rule 8.4(g) and concluded that it “is riddled with unanswered questions, including but not limited to uncertainties as to the meaning of key terms, how it interplays with other provisions of the Model Rules, and what disciplinary sanctions should apply to a violation; as well as due process and First Amendment </w:t>
      </w:r>
      <w:r w:rsidR="007509DA" w:rsidRPr="00BA40E3">
        <w:rPr>
          <w:rFonts w:ascii="Times New Roman" w:hAnsi="Times New Roman" w:cs="Times New Roman"/>
          <w:sz w:val="24"/>
          <w:szCs w:val="24"/>
        </w:rPr>
        <w:lastRenderedPageBreak/>
        <w:t>free expression infirmities.”</w:t>
      </w:r>
      <w:r w:rsidR="007509DA" w:rsidRPr="00BA40E3">
        <w:rPr>
          <w:rStyle w:val="FootnoteReference"/>
          <w:rFonts w:ascii="Times New Roman" w:hAnsi="Times New Roman" w:cs="Times New Roman"/>
          <w:sz w:val="24"/>
          <w:szCs w:val="24"/>
        </w:rPr>
        <w:footnoteReference w:id="5"/>
      </w:r>
      <w:r w:rsidR="007509DA" w:rsidRPr="00BA40E3">
        <w:rPr>
          <w:rFonts w:ascii="Times New Roman" w:hAnsi="Times New Roman" w:cs="Times New Roman"/>
          <w:sz w:val="24"/>
          <w:szCs w:val="24"/>
        </w:rPr>
        <w:t xml:space="preserve"> They recommend that “jurisdictions asked to adopt it should think long and hard about whether such a rule can be enforced, constitutionally or at all.” And they conclude that “the new model rule cannot be considered a serious suggestion of a workable rule of professional conduct to which real world lawyers may be fairly subjected.”</w:t>
      </w:r>
      <w:r w:rsidR="007509DA" w:rsidRPr="00BA40E3">
        <w:rPr>
          <w:rStyle w:val="FootnoteReference"/>
          <w:rFonts w:ascii="Times New Roman" w:hAnsi="Times New Roman" w:cs="Times New Roman"/>
          <w:sz w:val="24"/>
          <w:szCs w:val="24"/>
        </w:rPr>
        <w:footnoteReference w:id="6"/>
      </w:r>
    </w:p>
    <w:p w14:paraId="500B7261" w14:textId="77777777" w:rsidR="007509DA" w:rsidRPr="00BA40E3" w:rsidRDefault="007509DA" w:rsidP="007509DA">
      <w:pPr>
        <w:spacing w:after="0" w:line="240" w:lineRule="auto"/>
        <w:ind w:firstLine="720"/>
        <w:rPr>
          <w:rFonts w:ascii="Times New Roman" w:hAnsi="Times New Roman" w:cs="Times New Roman"/>
          <w:sz w:val="24"/>
          <w:szCs w:val="24"/>
        </w:rPr>
      </w:pPr>
    </w:p>
    <w:p w14:paraId="0C94308B" w14:textId="77777777" w:rsidR="00F26D1E" w:rsidRDefault="00BA40E3" w:rsidP="007509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w:t>
      </w:r>
      <w:r w:rsidR="007509DA" w:rsidRPr="00BA40E3">
        <w:rPr>
          <w:rFonts w:ascii="Times New Roman" w:hAnsi="Times New Roman" w:cs="Times New Roman"/>
          <w:sz w:val="24"/>
          <w:szCs w:val="24"/>
        </w:rPr>
        <w:t xml:space="preserve">ince the ABA adopted Model Rule 8.4(g) in August 2016, the United States Supreme Court has issued </w:t>
      </w:r>
      <w:r w:rsidR="00F26D1E">
        <w:rPr>
          <w:rFonts w:ascii="Times New Roman" w:hAnsi="Times New Roman" w:cs="Times New Roman"/>
          <w:sz w:val="24"/>
          <w:szCs w:val="24"/>
        </w:rPr>
        <w:t>three</w:t>
      </w:r>
      <w:r w:rsidR="007509DA" w:rsidRPr="00BA40E3">
        <w:rPr>
          <w:rFonts w:ascii="Times New Roman" w:hAnsi="Times New Roman" w:cs="Times New Roman"/>
          <w:sz w:val="24"/>
          <w:szCs w:val="24"/>
        </w:rPr>
        <w:t xml:space="preserve"> free speech decisions that demonstrate it</w:t>
      </w:r>
      <w:r w:rsidR="00F26D1E">
        <w:rPr>
          <w:rFonts w:ascii="Times New Roman" w:hAnsi="Times New Roman" w:cs="Times New Roman"/>
          <w:sz w:val="24"/>
          <w:szCs w:val="24"/>
        </w:rPr>
        <w:t xml:space="preserve"> is</w:t>
      </w:r>
      <w:r w:rsidR="007509DA" w:rsidRPr="00BA40E3">
        <w:rPr>
          <w:rFonts w:ascii="Times New Roman" w:hAnsi="Times New Roman" w:cs="Times New Roman"/>
          <w:sz w:val="24"/>
          <w:szCs w:val="24"/>
        </w:rPr>
        <w:t xml:space="preserve"> unconstitutional. </w:t>
      </w:r>
      <w:r w:rsidR="00F26D1E">
        <w:rPr>
          <w:rFonts w:ascii="Times New Roman" w:hAnsi="Times New Roman" w:cs="Times New Roman"/>
          <w:sz w:val="24"/>
          <w:szCs w:val="24"/>
        </w:rPr>
        <w:t>U</w:t>
      </w:r>
      <w:r w:rsidR="007509DA" w:rsidRPr="00BA40E3">
        <w:rPr>
          <w:rFonts w:ascii="Times New Roman" w:hAnsi="Times New Roman" w:cs="Times New Roman"/>
          <w:sz w:val="24"/>
          <w:szCs w:val="24"/>
        </w:rPr>
        <w:t xml:space="preserve">nder the Court’s analysis in </w:t>
      </w:r>
      <w:r w:rsidR="007509DA" w:rsidRPr="00BA40E3">
        <w:rPr>
          <w:rFonts w:ascii="Times New Roman" w:hAnsi="Times New Roman" w:cs="Times New Roman"/>
          <w:i/>
          <w:iCs/>
          <w:sz w:val="24"/>
          <w:szCs w:val="24"/>
        </w:rPr>
        <w:t>National Institute of Family and Life Advocates v. Becerra</w:t>
      </w:r>
      <w:r w:rsidR="007509DA" w:rsidRPr="00BA40E3">
        <w:rPr>
          <w:rFonts w:ascii="Times New Roman" w:hAnsi="Times New Roman" w:cs="Times New Roman"/>
          <w:sz w:val="24"/>
          <w:szCs w:val="24"/>
        </w:rPr>
        <w:t xml:space="preserve">, 138 S. Ct. 2361 (2018), </w:t>
      </w:r>
      <w:r w:rsidR="002C0E37">
        <w:rPr>
          <w:rFonts w:ascii="Times New Roman" w:hAnsi="Times New Roman" w:cs="Times New Roman"/>
          <w:sz w:val="24"/>
          <w:szCs w:val="24"/>
        </w:rPr>
        <w:t xml:space="preserve">ABA </w:t>
      </w:r>
      <w:r w:rsidR="007509DA" w:rsidRPr="00BA40E3">
        <w:rPr>
          <w:rFonts w:ascii="Times New Roman" w:hAnsi="Times New Roman" w:cs="Times New Roman"/>
          <w:sz w:val="24"/>
          <w:szCs w:val="24"/>
        </w:rPr>
        <w:t xml:space="preserve">Model Rule 8.4(g) is an unconstitutional content-based restriction on lawyers’ speech. </w:t>
      </w:r>
      <w:r w:rsidR="00310FBC">
        <w:rPr>
          <w:rFonts w:ascii="Times New Roman" w:hAnsi="Times New Roman" w:cs="Times New Roman"/>
          <w:sz w:val="24"/>
          <w:szCs w:val="24"/>
        </w:rPr>
        <w:t>In</w:t>
      </w:r>
      <w:r w:rsidR="007509DA" w:rsidRPr="00BA40E3">
        <w:rPr>
          <w:rFonts w:ascii="Times New Roman" w:hAnsi="Times New Roman" w:cs="Times New Roman"/>
          <w:sz w:val="24"/>
          <w:szCs w:val="24"/>
        </w:rPr>
        <w:t xml:space="preserve"> </w:t>
      </w:r>
      <w:r w:rsidR="007509DA" w:rsidRPr="00BA40E3">
        <w:rPr>
          <w:rFonts w:ascii="Times New Roman" w:hAnsi="Times New Roman" w:cs="Times New Roman"/>
          <w:i/>
          <w:sz w:val="24"/>
          <w:szCs w:val="24"/>
        </w:rPr>
        <w:t>Becerra</w:t>
      </w:r>
      <w:r w:rsidR="00310FBC">
        <w:rPr>
          <w:rFonts w:ascii="Times New Roman" w:hAnsi="Times New Roman" w:cs="Times New Roman"/>
          <w:iCs/>
          <w:sz w:val="24"/>
          <w:szCs w:val="24"/>
        </w:rPr>
        <w:t xml:space="preserve">, the Supreme </w:t>
      </w:r>
      <w:r w:rsidR="007509DA" w:rsidRPr="00BA40E3">
        <w:rPr>
          <w:rFonts w:ascii="Times New Roman" w:hAnsi="Times New Roman" w:cs="Times New Roman"/>
          <w:sz w:val="24"/>
          <w:szCs w:val="24"/>
        </w:rPr>
        <w:t xml:space="preserve">Court held that state restrictions on “professional speech” are presumptively unconstitutional and subject to strict scrutiny. </w:t>
      </w:r>
      <w:r w:rsidR="00F26D1E">
        <w:rPr>
          <w:rFonts w:ascii="Times New Roman" w:hAnsi="Times New Roman" w:cs="Times New Roman"/>
          <w:sz w:val="24"/>
          <w:szCs w:val="24"/>
        </w:rPr>
        <w:t>U</w:t>
      </w:r>
      <w:r w:rsidR="007509DA" w:rsidRPr="00BA40E3">
        <w:rPr>
          <w:rFonts w:ascii="Times New Roman" w:hAnsi="Times New Roman" w:cs="Times New Roman"/>
          <w:sz w:val="24"/>
          <w:szCs w:val="24"/>
        </w:rPr>
        <w:t xml:space="preserve">nder the Court’s </w:t>
      </w:r>
      <w:r w:rsidR="00F26D1E">
        <w:rPr>
          <w:rFonts w:ascii="Times New Roman" w:hAnsi="Times New Roman" w:cs="Times New Roman"/>
          <w:sz w:val="24"/>
          <w:szCs w:val="24"/>
        </w:rPr>
        <w:t xml:space="preserve">unanimous </w:t>
      </w:r>
      <w:r w:rsidR="007509DA" w:rsidRPr="00BA40E3">
        <w:rPr>
          <w:rFonts w:ascii="Times New Roman" w:hAnsi="Times New Roman" w:cs="Times New Roman"/>
          <w:sz w:val="24"/>
          <w:szCs w:val="24"/>
        </w:rPr>
        <w:t xml:space="preserve">analysis in </w:t>
      </w:r>
      <w:proofErr w:type="spellStart"/>
      <w:r w:rsidR="007509DA" w:rsidRPr="00BA40E3">
        <w:rPr>
          <w:rFonts w:ascii="Times New Roman" w:hAnsi="Times New Roman" w:cs="Times New Roman"/>
          <w:i/>
          <w:iCs/>
          <w:sz w:val="24"/>
          <w:szCs w:val="24"/>
        </w:rPr>
        <w:t>Matal</w:t>
      </w:r>
      <w:proofErr w:type="spellEnd"/>
      <w:r w:rsidR="007509DA" w:rsidRPr="00BA40E3">
        <w:rPr>
          <w:rFonts w:ascii="Times New Roman" w:hAnsi="Times New Roman" w:cs="Times New Roman"/>
          <w:i/>
          <w:iCs/>
          <w:sz w:val="24"/>
          <w:szCs w:val="24"/>
        </w:rPr>
        <w:t xml:space="preserve"> v. Tam</w:t>
      </w:r>
      <w:r w:rsidR="007509DA" w:rsidRPr="00BA40E3">
        <w:rPr>
          <w:rFonts w:ascii="Times New Roman" w:hAnsi="Times New Roman" w:cs="Times New Roman"/>
          <w:sz w:val="24"/>
          <w:szCs w:val="24"/>
        </w:rPr>
        <w:t xml:space="preserve">, 137 S. Ct. 1744 (2017), </w:t>
      </w:r>
      <w:r w:rsidR="00F26D1E">
        <w:rPr>
          <w:rFonts w:ascii="Times New Roman" w:hAnsi="Times New Roman" w:cs="Times New Roman"/>
          <w:sz w:val="24"/>
          <w:szCs w:val="24"/>
        </w:rPr>
        <w:t xml:space="preserve">and </w:t>
      </w:r>
      <w:proofErr w:type="spellStart"/>
      <w:r w:rsidR="00F26D1E" w:rsidRPr="00F26D1E">
        <w:rPr>
          <w:rFonts w:ascii="Times New Roman" w:hAnsi="Times New Roman" w:cs="Times New Roman"/>
          <w:i/>
          <w:iCs/>
          <w:sz w:val="24"/>
          <w:szCs w:val="24"/>
        </w:rPr>
        <w:t>Iancu</w:t>
      </w:r>
      <w:proofErr w:type="spellEnd"/>
      <w:r w:rsidR="00F26D1E" w:rsidRPr="00F26D1E">
        <w:rPr>
          <w:rFonts w:ascii="Times New Roman" w:hAnsi="Times New Roman" w:cs="Times New Roman"/>
          <w:i/>
          <w:iCs/>
          <w:sz w:val="24"/>
          <w:szCs w:val="24"/>
        </w:rPr>
        <w:t xml:space="preserve"> v. Brunetti</w:t>
      </w:r>
      <w:r w:rsidR="00F26D1E">
        <w:rPr>
          <w:rFonts w:ascii="Times New Roman" w:hAnsi="Times New Roman" w:cs="Times New Roman"/>
          <w:sz w:val="24"/>
          <w:szCs w:val="24"/>
        </w:rPr>
        <w:t xml:space="preserve">, 139 S. Ct. 2294 (2019), </w:t>
      </w:r>
      <w:r w:rsidR="007509DA" w:rsidRPr="00BA40E3">
        <w:rPr>
          <w:rFonts w:ascii="Times New Roman" w:hAnsi="Times New Roman" w:cs="Times New Roman"/>
          <w:sz w:val="24"/>
          <w:szCs w:val="24"/>
        </w:rPr>
        <w:t>ABA Model Rule 8.4(g) is an unconstitutional viewpoint-based restriction on lawyers’ speech</w:t>
      </w:r>
      <w:r w:rsidR="00F26D1E">
        <w:rPr>
          <w:rFonts w:ascii="Times New Roman" w:hAnsi="Times New Roman" w:cs="Times New Roman"/>
          <w:sz w:val="24"/>
          <w:szCs w:val="24"/>
        </w:rPr>
        <w:t>.</w:t>
      </w:r>
    </w:p>
    <w:p w14:paraId="5D431C4D" w14:textId="12BA351C" w:rsidR="007509DA" w:rsidRPr="00BA40E3" w:rsidRDefault="007509DA" w:rsidP="007509DA">
      <w:pPr>
        <w:spacing w:after="0" w:line="240" w:lineRule="auto"/>
        <w:ind w:firstLine="720"/>
        <w:rPr>
          <w:rFonts w:ascii="Times New Roman" w:hAnsi="Times New Roman" w:cs="Times New Roman"/>
          <w:sz w:val="24"/>
          <w:szCs w:val="24"/>
        </w:rPr>
      </w:pPr>
      <w:r w:rsidRPr="00BA40E3">
        <w:rPr>
          <w:rFonts w:ascii="Times New Roman" w:hAnsi="Times New Roman" w:cs="Times New Roman"/>
          <w:sz w:val="24"/>
          <w:szCs w:val="24"/>
        </w:rPr>
        <w:t xml:space="preserve"> </w:t>
      </w:r>
    </w:p>
    <w:p w14:paraId="2B8C8D0C" w14:textId="7DDE8508" w:rsidR="007509DA" w:rsidRPr="00BA40E3" w:rsidRDefault="00F26D1E" w:rsidP="007509DA">
      <w:pPr>
        <w:spacing w:after="0" w:line="240" w:lineRule="auto"/>
        <w:ind w:firstLine="720"/>
        <w:rPr>
          <w:rFonts w:ascii="Times New Roman" w:hAnsi="Times New Roman" w:cs="Times New Roman"/>
          <w:sz w:val="24"/>
          <w:szCs w:val="24"/>
        </w:rPr>
      </w:pPr>
      <w:r>
        <w:rPr>
          <w:rFonts w:ascii="Times New Roman" w:hAnsi="Times New Roman" w:cs="Times New Roman"/>
          <w:bCs/>
          <w:sz w:val="24"/>
          <w:szCs w:val="24"/>
        </w:rPr>
        <w:t>Wisconsin</w:t>
      </w:r>
      <w:r w:rsidR="00AC74FC">
        <w:rPr>
          <w:rFonts w:ascii="Times New Roman" w:hAnsi="Times New Roman" w:cs="Times New Roman"/>
          <w:bCs/>
          <w:sz w:val="24"/>
          <w:szCs w:val="24"/>
        </w:rPr>
        <w:t xml:space="preserve"> </w:t>
      </w:r>
      <w:r w:rsidR="00431BF7">
        <w:rPr>
          <w:rFonts w:ascii="Times New Roman" w:hAnsi="Times New Roman" w:cs="Times New Roman"/>
          <w:bCs/>
          <w:sz w:val="24"/>
          <w:szCs w:val="24"/>
        </w:rPr>
        <w:t xml:space="preserve">attorneys should not be subject to a rule </w:t>
      </w:r>
      <w:r w:rsidR="00AC74FC">
        <w:rPr>
          <w:rFonts w:ascii="Times New Roman" w:hAnsi="Times New Roman" w:cs="Times New Roman"/>
          <w:bCs/>
          <w:sz w:val="24"/>
          <w:szCs w:val="24"/>
        </w:rPr>
        <w:t xml:space="preserve">of questionable constitutionality </w:t>
      </w:r>
      <w:r>
        <w:rPr>
          <w:rFonts w:ascii="Times New Roman" w:hAnsi="Times New Roman" w:cs="Times New Roman"/>
          <w:bCs/>
          <w:sz w:val="24"/>
          <w:szCs w:val="24"/>
        </w:rPr>
        <w:t xml:space="preserve">nor </w:t>
      </w:r>
      <w:r w:rsidR="001B06CB">
        <w:rPr>
          <w:rFonts w:ascii="Times New Roman" w:hAnsi="Times New Roman" w:cs="Times New Roman"/>
          <w:bCs/>
          <w:sz w:val="24"/>
          <w:szCs w:val="24"/>
        </w:rPr>
        <w:t>one</w:t>
      </w:r>
      <w:r w:rsidR="00AC74FC">
        <w:rPr>
          <w:rFonts w:ascii="Times New Roman" w:hAnsi="Times New Roman" w:cs="Times New Roman"/>
          <w:bCs/>
          <w:sz w:val="24"/>
          <w:szCs w:val="24"/>
        </w:rPr>
        <w:t xml:space="preserve"> </w:t>
      </w:r>
      <w:r w:rsidR="00431BF7">
        <w:rPr>
          <w:rFonts w:ascii="Times New Roman" w:hAnsi="Times New Roman" w:cs="Times New Roman"/>
          <w:bCs/>
          <w:sz w:val="24"/>
          <w:szCs w:val="24"/>
        </w:rPr>
        <w:t>that has not been adequately tested in other states.</w:t>
      </w:r>
      <w:r w:rsidR="00310FBC">
        <w:rPr>
          <w:rFonts w:ascii="Times New Roman" w:hAnsi="Times New Roman" w:cs="Times New Roman"/>
          <w:bCs/>
          <w:sz w:val="24"/>
          <w:szCs w:val="24"/>
        </w:rPr>
        <w:t xml:space="preserve"> </w:t>
      </w:r>
      <w:r w:rsidR="007509DA" w:rsidRPr="00BA40E3">
        <w:rPr>
          <w:rFonts w:ascii="Times New Roman" w:hAnsi="Times New Roman" w:cs="Times New Roman"/>
          <w:sz w:val="24"/>
          <w:szCs w:val="24"/>
        </w:rPr>
        <w:t>I respectfully request that the C</w:t>
      </w:r>
      <w:r w:rsidR="001B06CB">
        <w:rPr>
          <w:rFonts w:ascii="Times New Roman" w:hAnsi="Times New Roman" w:cs="Times New Roman"/>
          <w:sz w:val="24"/>
          <w:szCs w:val="24"/>
        </w:rPr>
        <w:t>ommittee</w:t>
      </w:r>
      <w:r w:rsidR="007509DA" w:rsidRPr="00BA40E3">
        <w:rPr>
          <w:rFonts w:ascii="Times New Roman" w:hAnsi="Times New Roman" w:cs="Times New Roman"/>
          <w:sz w:val="24"/>
          <w:szCs w:val="24"/>
        </w:rPr>
        <w:t xml:space="preserve"> reject </w:t>
      </w:r>
      <w:r w:rsidR="001B06CB">
        <w:rPr>
          <w:rFonts w:ascii="Times New Roman" w:hAnsi="Times New Roman" w:cs="Times New Roman"/>
          <w:sz w:val="24"/>
          <w:szCs w:val="24"/>
        </w:rPr>
        <w:t>ABA Model Rule 8.4(g) and leave Supreme Court Rule 20:8.4(i) as it currently is written</w:t>
      </w:r>
      <w:r w:rsidR="00AC74FC">
        <w:rPr>
          <w:rFonts w:ascii="Times New Roman" w:hAnsi="Times New Roman" w:cs="Times New Roman"/>
          <w:sz w:val="24"/>
          <w:szCs w:val="24"/>
        </w:rPr>
        <w:t>. I</w:t>
      </w:r>
      <w:r w:rsidR="007509DA" w:rsidRPr="00BA40E3">
        <w:rPr>
          <w:rFonts w:ascii="Times New Roman" w:hAnsi="Times New Roman" w:cs="Times New Roman"/>
          <w:sz w:val="24"/>
          <w:szCs w:val="24"/>
        </w:rPr>
        <w:t xml:space="preserve"> thank the Court for considering these comments.</w:t>
      </w:r>
    </w:p>
    <w:p w14:paraId="4A0BE15F" w14:textId="77777777" w:rsidR="007509DA" w:rsidRPr="00BA40E3" w:rsidRDefault="007509DA" w:rsidP="007509DA">
      <w:pPr>
        <w:spacing w:after="0" w:line="240" w:lineRule="auto"/>
        <w:ind w:firstLine="720"/>
        <w:rPr>
          <w:rFonts w:ascii="Times New Roman" w:hAnsi="Times New Roman" w:cs="Times New Roman"/>
          <w:sz w:val="24"/>
          <w:szCs w:val="24"/>
        </w:rPr>
      </w:pPr>
    </w:p>
    <w:p w14:paraId="44D1D573" w14:textId="77777777" w:rsidR="007509DA" w:rsidRPr="00BA40E3" w:rsidRDefault="007509DA" w:rsidP="007509DA">
      <w:pPr>
        <w:spacing w:after="0" w:line="240" w:lineRule="auto"/>
        <w:rPr>
          <w:rFonts w:ascii="Times New Roman" w:hAnsi="Times New Roman" w:cs="Times New Roman"/>
          <w:sz w:val="24"/>
          <w:szCs w:val="24"/>
        </w:rPr>
      </w:pPr>
      <w:r w:rsidRPr="00BA40E3">
        <w:rPr>
          <w:rFonts w:ascii="Times New Roman" w:hAnsi="Times New Roman" w:cs="Times New Roman"/>
          <w:sz w:val="24"/>
          <w:szCs w:val="24"/>
        </w:rPr>
        <w:t>Yours truly,</w:t>
      </w:r>
    </w:p>
    <w:p w14:paraId="22874DD9" w14:textId="77777777" w:rsidR="007509DA" w:rsidRPr="007509DA" w:rsidRDefault="007509DA">
      <w:pPr>
        <w:spacing w:after="0" w:line="240" w:lineRule="auto"/>
        <w:rPr>
          <w:rFonts w:ascii="Times New Roman" w:hAnsi="Times New Roman" w:cs="Times New Roman"/>
          <w:sz w:val="24"/>
          <w:szCs w:val="24"/>
        </w:rPr>
      </w:pPr>
    </w:p>
    <w:sectPr w:rsidR="007509DA" w:rsidRPr="007509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C65D7" w14:textId="77777777" w:rsidR="009B3A86" w:rsidRDefault="009B3A86" w:rsidP="00057DCA">
      <w:pPr>
        <w:spacing w:after="0" w:line="240" w:lineRule="auto"/>
      </w:pPr>
      <w:r>
        <w:separator/>
      </w:r>
    </w:p>
  </w:endnote>
  <w:endnote w:type="continuationSeparator" w:id="0">
    <w:p w14:paraId="14F54A1A" w14:textId="77777777" w:rsidR="009B3A86" w:rsidRDefault="009B3A86" w:rsidP="0005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B74E9" w14:textId="77777777" w:rsidR="009B3A86" w:rsidRDefault="009B3A86" w:rsidP="00057DCA">
      <w:pPr>
        <w:spacing w:after="0" w:line="240" w:lineRule="auto"/>
      </w:pPr>
      <w:r>
        <w:separator/>
      </w:r>
    </w:p>
  </w:footnote>
  <w:footnote w:type="continuationSeparator" w:id="0">
    <w:p w14:paraId="7EC3AEB7" w14:textId="77777777" w:rsidR="009B3A86" w:rsidRDefault="009B3A86" w:rsidP="00057DCA">
      <w:pPr>
        <w:spacing w:after="0" w:line="240" w:lineRule="auto"/>
      </w:pPr>
      <w:r>
        <w:continuationSeparator/>
      </w:r>
    </w:p>
  </w:footnote>
  <w:footnote w:id="1">
    <w:p w14:paraId="305FC61E" w14:textId="77777777" w:rsidR="007509DA" w:rsidRPr="007509DA" w:rsidRDefault="007509DA" w:rsidP="007509DA">
      <w:pPr>
        <w:pStyle w:val="FootnoteText"/>
        <w:rPr>
          <w:rFonts w:ascii="Times New Roman" w:hAnsi="Times New Roman" w:cs="Times New Roman"/>
        </w:rPr>
      </w:pPr>
      <w:r w:rsidRPr="007509DA">
        <w:rPr>
          <w:rStyle w:val="FootnoteReference"/>
          <w:rFonts w:ascii="Times New Roman" w:hAnsi="Times New Roman" w:cs="Times New Roman"/>
        </w:rPr>
        <w:footnoteRef/>
      </w:r>
      <w:r w:rsidRPr="007509DA">
        <w:rPr>
          <w:rFonts w:ascii="Times New Roman" w:hAnsi="Times New Roman" w:cs="Times New Roman"/>
        </w:rPr>
        <w:t xml:space="preserve"> Eugene Volokh, A Nationwide Speech Code for Lawyers?, The Federalist Society (May 2, 2017), </w:t>
      </w:r>
      <w:hyperlink r:id="rId1" w:history="1">
        <w:r w:rsidRPr="007509DA">
          <w:rPr>
            <w:rStyle w:val="Hyperlink"/>
            <w:rFonts w:ascii="Times New Roman" w:hAnsi="Times New Roman" w:cs="Times New Roman"/>
          </w:rPr>
          <w:t>https://www.youtube.com/watch?v=AfpdWmlOXbA</w:t>
        </w:r>
      </w:hyperlink>
      <w:r w:rsidRPr="007509DA">
        <w:rPr>
          <w:rFonts w:ascii="Times New Roman" w:hAnsi="Times New Roman" w:cs="Times New Roman"/>
        </w:rPr>
        <w:t xml:space="preserve">. </w:t>
      </w:r>
    </w:p>
  </w:footnote>
  <w:footnote w:id="2">
    <w:p w14:paraId="65403A26" w14:textId="77777777" w:rsidR="007509DA" w:rsidRPr="003854FB" w:rsidRDefault="007509DA" w:rsidP="007509DA">
      <w:pPr>
        <w:pStyle w:val="FootnoteText"/>
        <w:rPr>
          <w:rFonts w:ascii="Times New Roman" w:hAnsi="Times New Roman" w:cs="Times New Roman"/>
        </w:rPr>
      </w:pPr>
      <w:r w:rsidRPr="007509DA">
        <w:rPr>
          <w:rStyle w:val="FootnoteReference"/>
          <w:rFonts w:ascii="Times New Roman" w:hAnsi="Times New Roman" w:cs="Times New Roman"/>
        </w:rPr>
        <w:footnoteRef/>
      </w:r>
      <w:r w:rsidRPr="007509DA">
        <w:rPr>
          <w:rFonts w:ascii="Times New Roman" w:hAnsi="Times New Roman" w:cs="Times New Roman"/>
        </w:rPr>
        <w:t xml:space="preserve"> </w:t>
      </w:r>
      <w:r w:rsidRPr="003854FB">
        <w:rPr>
          <w:rFonts w:ascii="Times New Roman" w:hAnsi="Times New Roman" w:cs="Times New Roman"/>
        </w:rPr>
        <w:t xml:space="preserve">Ronald D. Rotunda, The ABA Decision to Control What Lawyers Say: Supporting ‘Diversity’ But Not Diversity of Thought, The Heritage Foundation (Oct. 6, 2016), </w:t>
      </w:r>
      <w:hyperlink r:id="rId2" w:history="1">
        <w:r w:rsidRPr="003854FB">
          <w:rPr>
            <w:rStyle w:val="Hyperlink"/>
            <w:rFonts w:ascii="Times New Roman" w:hAnsi="Times New Roman" w:cs="Times New Roman"/>
          </w:rPr>
          <w:t>http://thf-reports.s3.amazonaws.com/2016/LM-191.pdf</w:t>
        </w:r>
      </w:hyperlink>
      <w:r w:rsidRPr="003854FB">
        <w:rPr>
          <w:rFonts w:ascii="Times New Roman" w:hAnsi="Times New Roman" w:cs="Times New Roman"/>
        </w:rPr>
        <w:t xml:space="preserve">. </w:t>
      </w:r>
    </w:p>
  </w:footnote>
  <w:footnote w:id="3">
    <w:p w14:paraId="7CE89CC2" w14:textId="77777777" w:rsidR="007509DA" w:rsidRPr="003854FB" w:rsidRDefault="007509DA" w:rsidP="007509DA">
      <w:pPr>
        <w:pStyle w:val="FootnoteText"/>
        <w:rPr>
          <w:rFonts w:ascii="Times New Roman" w:hAnsi="Times New Roman" w:cs="Times New Roman"/>
        </w:rPr>
      </w:pPr>
      <w:r w:rsidRPr="003854FB">
        <w:rPr>
          <w:rStyle w:val="FootnoteReference"/>
          <w:rFonts w:ascii="Times New Roman" w:hAnsi="Times New Roman" w:cs="Times New Roman"/>
        </w:rPr>
        <w:footnoteRef/>
      </w:r>
      <w:r w:rsidRPr="003854FB">
        <w:rPr>
          <w:rFonts w:ascii="Times New Roman" w:hAnsi="Times New Roman" w:cs="Times New Roman"/>
        </w:rPr>
        <w:t xml:space="preserve"> Ronald D. Rotunda &amp; John S. Dzienkowski, </w:t>
      </w:r>
      <w:r w:rsidRPr="003854FB">
        <w:rPr>
          <w:rFonts w:ascii="Times New Roman" w:hAnsi="Times New Roman" w:cs="Times New Roman"/>
          <w:i/>
          <w:iCs/>
        </w:rPr>
        <w:t>Legal Ethics: The Lawyer’s Deskbook on Professional Responsibility</w:t>
      </w:r>
      <w:r w:rsidRPr="003854FB">
        <w:rPr>
          <w:rFonts w:ascii="Times New Roman" w:hAnsi="Times New Roman" w:cs="Times New Roman"/>
        </w:rPr>
        <w:t xml:space="preserve">, ed. April 2017, “§ 8.4-2(j) Racist, Sexist, and Politically Incorrect Speech” &amp; “§ 8.4-2(j)-2. The New Rule 8.4 and the Free Speech Problems It May Raise” in “§ 8.4-2 Categories of Disciplinable Conduct.” </w:t>
      </w:r>
    </w:p>
  </w:footnote>
  <w:footnote w:id="4">
    <w:p w14:paraId="02D2B7CA" w14:textId="33679453" w:rsidR="007509DA" w:rsidRPr="003854FB" w:rsidRDefault="007509DA" w:rsidP="007509DA">
      <w:pPr>
        <w:pStyle w:val="FootnoteText"/>
        <w:rPr>
          <w:rFonts w:ascii="Times New Roman" w:hAnsi="Times New Roman" w:cs="Times New Roman"/>
        </w:rPr>
      </w:pPr>
      <w:r w:rsidRPr="003854FB">
        <w:rPr>
          <w:rStyle w:val="FootnoteReference"/>
          <w:rFonts w:ascii="Times New Roman" w:hAnsi="Times New Roman" w:cs="Times New Roman"/>
        </w:rPr>
        <w:footnoteRef/>
      </w:r>
      <w:r w:rsidRPr="003854FB">
        <w:rPr>
          <w:rFonts w:ascii="Times New Roman" w:hAnsi="Times New Roman" w:cs="Times New Roman"/>
        </w:rPr>
        <w:t xml:space="preserve"> </w:t>
      </w:r>
      <w:r w:rsidR="00C20540" w:rsidRPr="003854FB">
        <w:rPr>
          <w:rFonts w:ascii="Times New Roman" w:hAnsi="Times New Roman" w:cs="Times New Roman"/>
        </w:rPr>
        <w:t>Mic</w:t>
      </w:r>
      <w:r w:rsidRPr="003854FB">
        <w:rPr>
          <w:rFonts w:ascii="Times New Roman" w:hAnsi="Times New Roman" w:cs="Times New Roman"/>
        </w:rPr>
        <w:t xml:space="preserve">hael S. McGinniss, </w:t>
      </w:r>
      <w:r w:rsidRPr="003854FB">
        <w:rPr>
          <w:rFonts w:ascii="Times New Roman" w:hAnsi="Times New Roman" w:cs="Times New Roman"/>
          <w:i/>
          <w:iCs/>
        </w:rPr>
        <w:t>Expressing Conscience with Candor: Saint Thomas More and First Freedoms in the Legal Profession</w:t>
      </w:r>
      <w:r w:rsidRPr="003854FB">
        <w:rPr>
          <w:rFonts w:ascii="Times New Roman" w:hAnsi="Times New Roman" w:cs="Times New Roman"/>
        </w:rPr>
        <w:t>, 42 Harv. J. L. &amp; Pub. Pol’y 173, 173 (2019).</w:t>
      </w:r>
    </w:p>
  </w:footnote>
  <w:footnote w:id="5">
    <w:p w14:paraId="7D829F81" w14:textId="77777777" w:rsidR="007509DA" w:rsidRPr="003854FB" w:rsidRDefault="007509DA" w:rsidP="007509DA">
      <w:pPr>
        <w:pStyle w:val="FootnoteText"/>
        <w:rPr>
          <w:rFonts w:ascii="Times New Roman" w:hAnsi="Times New Roman" w:cs="Times New Roman"/>
        </w:rPr>
      </w:pPr>
      <w:r w:rsidRPr="003854FB">
        <w:rPr>
          <w:rStyle w:val="FootnoteReference"/>
          <w:rFonts w:ascii="Times New Roman" w:hAnsi="Times New Roman" w:cs="Times New Roman"/>
        </w:rPr>
        <w:footnoteRef/>
      </w:r>
      <w:r w:rsidRPr="003854FB">
        <w:rPr>
          <w:rFonts w:ascii="Times New Roman" w:hAnsi="Times New Roman" w:cs="Times New Roman"/>
        </w:rPr>
        <w:t xml:space="preserve"> Andrew F. Halaby &amp; Brianna L. Long, </w:t>
      </w:r>
      <w:r w:rsidRPr="003854FB">
        <w:rPr>
          <w:rFonts w:ascii="Times New Roman" w:hAnsi="Times New Roman" w:cs="Times New Roman"/>
          <w:i/>
          <w:iCs/>
        </w:rPr>
        <w:t>New Model Rule of Professional Conduct 8.4(g): Legislative History, Enforceability Questions, and a Call for Scholarship</w:t>
      </w:r>
      <w:r w:rsidRPr="003854FB">
        <w:rPr>
          <w:rFonts w:ascii="Times New Roman" w:hAnsi="Times New Roman" w:cs="Times New Roman"/>
        </w:rPr>
        <w:t>, 41 J. Legal. Prof. 201, 257 (2017).</w:t>
      </w:r>
    </w:p>
  </w:footnote>
  <w:footnote w:id="6">
    <w:p w14:paraId="172E08B5" w14:textId="77777777" w:rsidR="007509DA" w:rsidRDefault="007509DA" w:rsidP="007509DA">
      <w:pPr>
        <w:pStyle w:val="FootnoteText"/>
      </w:pPr>
      <w:r w:rsidRPr="003854FB">
        <w:rPr>
          <w:rStyle w:val="FootnoteReference"/>
          <w:rFonts w:ascii="Times New Roman" w:hAnsi="Times New Roman" w:cs="Times New Roman"/>
        </w:rPr>
        <w:footnoteRef/>
      </w:r>
      <w:r w:rsidRPr="003854FB">
        <w:rPr>
          <w:rFonts w:ascii="Times New Roman" w:hAnsi="Times New Roman" w:cs="Times New Roman"/>
        </w:rPr>
        <w:t xml:space="preserve"> </w:t>
      </w:r>
      <w:r w:rsidRPr="003854FB">
        <w:rPr>
          <w:rFonts w:ascii="Times New Roman" w:hAnsi="Times New Roman" w:cs="Times New Roman"/>
          <w:i/>
          <w:iCs/>
        </w:rPr>
        <w:t>Id.</w:t>
      </w:r>
      <w:r w:rsidRPr="003854FB">
        <w:rPr>
          <w:rFonts w:ascii="Times New Roman" w:hAnsi="Times New Roman" w:cs="Times New Roman"/>
        </w:rPr>
        <w:t xml:space="preserve"> at 204.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CA"/>
    <w:rsid w:val="00057DCA"/>
    <w:rsid w:val="001B06CB"/>
    <w:rsid w:val="001C4348"/>
    <w:rsid w:val="002529C3"/>
    <w:rsid w:val="002C0E37"/>
    <w:rsid w:val="00310FBC"/>
    <w:rsid w:val="0038259D"/>
    <w:rsid w:val="003854FB"/>
    <w:rsid w:val="00431BF7"/>
    <w:rsid w:val="00441E11"/>
    <w:rsid w:val="00621964"/>
    <w:rsid w:val="007509DA"/>
    <w:rsid w:val="00870B84"/>
    <w:rsid w:val="008E1A22"/>
    <w:rsid w:val="009B3A86"/>
    <w:rsid w:val="00A17BF3"/>
    <w:rsid w:val="00A90D5F"/>
    <w:rsid w:val="00AC74FC"/>
    <w:rsid w:val="00BA40E3"/>
    <w:rsid w:val="00C20540"/>
    <w:rsid w:val="00C341B4"/>
    <w:rsid w:val="00C72D3C"/>
    <w:rsid w:val="00CF7C3B"/>
    <w:rsid w:val="00DC095F"/>
    <w:rsid w:val="00E25979"/>
    <w:rsid w:val="00E9513C"/>
    <w:rsid w:val="00EF7BF9"/>
    <w:rsid w:val="00F1482F"/>
    <w:rsid w:val="00F2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884A"/>
  <w15:chartTrackingRefBased/>
  <w15:docId w15:val="{29A51955-CCE6-494F-9DD8-6026D9D1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DCA"/>
    <w:rPr>
      <w:color w:val="0563C1" w:themeColor="hyperlink"/>
      <w:u w:val="single"/>
    </w:rPr>
  </w:style>
  <w:style w:type="character" w:customStyle="1" w:styleId="UnresolvedMention1">
    <w:name w:val="Unresolved Mention1"/>
    <w:basedOn w:val="DefaultParagraphFont"/>
    <w:uiPriority w:val="99"/>
    <w:semiHidden/>
    <w:unhideWhenUsed/>
    <w:rsid w:val="00057DCA"/>
    <w:rPr>
      <w:color w:val="605E5C"/>
      <w:shd w:val="clear" w:color="auto" w:fill="E1DFDD"/>
    </w:rPr>
  </w:style>
  <w:style w:type="paragraph" w:styleId="FootnoteText">
    <w:name w:val="footnote text"/>
    <w:basedOn w:val="Normal"/>
    <w:link w:val="FootnoteTextChar"/>
    <w:uiPriority w:val="99"/>
    <w:semiHidden/>
    <w:unhideWhenUsed/>
    <w:rsid w:val="00057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7DCA"/>
    <w:rPr>
      <w:sz w:val="20"/>
      <w:szCs w:val="20"/>
    </w:rPr>
  </w:style>
  <w:style w:type="character" w:styleId="FootnoteReference">
    <w:name w:val="footnote reference"/>
    <w:basedOn w:val="DefaultParagraphFont"/>
    <w:uiPriority w:val="99"/>
    <w:semiHidden/>
    <w:unhideWhenUsed/>
    <w:rsid w:val="00057DCA"/>
    <w:rPr>
      <w:vertAlign w:val="superscript"/>
    </w:rPr>
  </w:style>
  <w:style w:type="paragraph" w:styleId="BalloonText">
    <w:name w:val="Balloon Text"/>
    <w:basedOn w:val="Normal"/>
    <w:link w:val="BalloonTextChar"/>
    <w:uiPriority w:val="99"/>
    <w:semiHidden/>
    <w:unhideWhenUsed/>
    <w:rsid w:val="00BA4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E3"/>
    <w:rPr>
      <w:rFonts w:ascii="Segoe UI" w:hAnsi="Segoe UI" w:cs="Segoe UI"/>
      <w:sz w:val="18"/>
      <w:szCs w:val="18"/>
    </w:rPr>
  </w:style>
  <w:style w:type="character" w:styleId="UnresolvedMention">
    <w:name w:val="Unresolved Mention"/>
    <w:basedOn w:val="DefaultParagraphFont"/>
    <w:uiPriority w:val="99"/>
    <w:semiHidden/>
    <w:unhideWhenUsed/>
    <w:rsid w:val="00F26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mpinen@wisc.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thf-reports.s3.amazonaws.com/2016/LM-191.pdf" TargetMode="External"/><Relationship Id="rId1" Type="http://schemas.openxmlformats.org/officeDocument/2006/relationships/hyperlink" Target="https://www.youtube.com/watch?v=AfpdWmlOX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D6D2C-1B15-445D-A227-A945B2CB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Nammo</dc:creator>
  <cp:keywords/>
  <dc:description/>
  <cp:lastModifiedBy>Laura Nammo</cp:lastModifiedBy>
  <cp:revision>2</cp:revision>
  <cp:lastPrinted>2019-11-25T19:49:00Z</cp:lastPrinted>
  <dcterms:created xsi:type="dcterms:W3CDTF">2021-03-01T18:50:00Z</dcterms:created>
  <dcterms:modified xsi:type="dcterms:W3CDTF">2021-03-01T18:50:00Z</dcterms:modified>
</cp:coreProperties>
</file>